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66A03" w14:textId="28D2A4DF" w:rsidR="00607FEC" w:rsidRDefault="00681F3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Pr>
          <w:rFonts w:ascii="inherit" w:eastAsia="Times New Roman" w:hAnsi="inherit" w:cs="Times New Roman"/>
          <w:b/>
          <w:bCs/>
          <w:color w:val="000000"/>
          <w:sz w:val="29"/>
          <w:szCs w:val="29"/>
          <w:bdr w:val="none" w:sz="0" w:space="0" w:color="auto" w:frame="1"/>
        </w:rPr>
        <w:t>R</w:t>
      </w:r>
      <w:r w:rsidRPr="00681F3A">
        <w:rPr>
          <w:rFonts w:ascii="inherit" w:eastAsia="Times New Roman" w:hAnsi="inherit" w:cs="Times New Roman"/>
          <w:b/>
          <w:bCs/>
          <w:color w:val="000000"/>
          <w:sz w:val="29"/>
          <w:szCs w:val="29"/>
          <w:bdr w:val="none" w:sz="0" w:space="0" w:color="auto" w:frame="1"/>
        </w:rPr>
        <w:t>espon</w:t>
      </w:r>
      <w:r>
        <w:rPr>
          <w:rFonts w:ascii="inherit" w:eastAsia="Times New Roman" w:hAnsi="inherit" w:cs="Times New Roman"/>
          <w:b/>
          <w:bCs/>
          <w:color w:val="000000"/>
          <w:sz w:val="29"/>
          <w:szCs w:val="29"/>
          <w:bdr w:val="none" w:sz="0" w:space="0" w:color="auto" w:frame="1"/>
        </w:rPr>
        <w:t>d</w:t>
      </w:r>
      <w:r w:rsidRPr="00681F3A">
        <w:rPr>
          <w:rFonts w:ascii="inherit" w:eastAsia="Times New Roman" w:hAnsi="inherit" w:cs="Times New Roman"/>
          <w:b/>
          <w:bCs/>
          <w:color w:val="000000"/>
          <w:sz w:val="29"/>
          <w:szCs w:val="29"/>
          <w:bdr w:val="none" w:sz="0" w:space="0" w:color="auto" w:frame="1"/>
        </w:rPr>
        <w:t xml:space="preserve"> to the following question.  Briefly discuss Diversity-Related Employment Legislation and its interconnectivity to Diversity - specifically within the </w:t>
      </w:r>
      <w:proofErr w:type="gramStart"/>
      <w:r w:rsidRPr="00681F3A">
        <w:rPr>
          <w:rFonts w:ascii="inherit" w:eastAsia="Times New Roman" w:hAnsi="inherit" w:cs="Times New Roman"/>
          <w:b/>
          <w:bCs/>
          <w:color w:val="000000"/>
          <w:sz w:val="29"/>
          <w:szCs w:val="29"/>
          <w:bdr w:val="none" w:sz="0" w:space="0" w:color="auto" w:frame="1"/>
        </w:rPr>
        <w:t>workplace .</w:t>
      </w:r>
      <w:proofErr w:type="gramEnd"/>
      <w:r w:rsidRPr="00681F3A">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681F3A">
        <w:rPr>
          <w:rFonts w:ascii="inherit" w:eastAsia="Times New Roman" w:hAnsi="inherit" w:cs="Times New Roman"/>
          <w:b/>
          <w:bCs/>
          <w:color w:val="000000"/>
          <w:sz w:val="29"/>
          <w:szCs w:val="29"/>
          <w:bdr w:val="none" w:sz="0" w:space="0" w:color="auto" w:frame="1"/>
        </w:rPr>
        <w:t>7 sentence</w:t>
      </w:r>
      <w:proofErr w:type="gramEnd"/>
      <w:r w:rsidRPr="00681F3A">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02C49037" w14:textId="77777777" w:rsidR="00607FEC" w:rsidRDefault="00607FEC"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67D0A85" w14:textId="77777777" w:rsidR="00681F3A" w:rsidRPr="00681F3A" w:rsidRDefault="00681F3A" w:rsidP="00681F3A">
      <w:pPr>
        <w:spacing w:after="0" w:line="240" w:lineRule="auto"/>
        <w:ind w:right="45"/>
        <w:outlineLvl w:val="2"/>
        <w:rPr>
          <w:rFonts w:ascii="inherit" w:eastAsia="Times New Roman" w:hAnsi="inherit" w:cs="Times New Roman"/>
          <w:b/>
          <w:bCs/>
          <w:color w:val="111111"/>
          <w:sz w:val="29"/>
          <w:szCs w:val="29"/>
        </w:rPr>
      </w:pPr>
      <w:r w:rsidRPr="00681F3A">
        <w:rPr>
          <w:rFonts w:ascii="inherit" w:eastAsia="Times New Roman" w:hAnsi="inherit" w:cs="Times New Roman"/>
          <w:b/>
          <w:bCs/>
          <w:color w:val="000000"/>
          <w:sz w:val="29"/>
          <w:szCs w:val="29"/>
          <w:bdr w:val="none" w:sz="0" w:space="0" w:color="auto" w:frame="1"/>
        </w:rPr>
        <w:t>Chapter 2: Diversity Legislation in a Global Perspective: Equality and Fairness in Employment</w:t>
      </w:r>
      <w:r w:rsidRPr="00681F3A">
        <w:rPr>
          <w:rFonts w:ascii="inherit" w:eastAsia="Times New Roman" w:hAnsi="inherit" w:cs="Times New Roman"/>
          <w:b/>
          <w:bCs/>
          <w:color w:val="111111"/>
          <w:sz w:val="29"/>
          <w:szCs w:val="29"/>
        </w:rPr>
        <w:t xml:space="preserve"> </w:t>
      </w:r>
    </w:p>
    <w:p w14:paraId="56093BC6" w14:textId="77777777" w:rsidR="00681F3A" w:rsidRPr="00681F3A" w:rsidRDefault="00681F3A" w:rsidP="00681F3A">
      <w:pPr>
        <w:spacing w:after="0" w:line="240" w:lineRule="auto"/>
        <w:outlineLvl w:val="0"/>
        <w:rPr>
          <w:rFonts w:ascii="inherit" w:eastAsia="Times New Roman" w:hAnsi="inherit" w:cs="Times New Roman"/>
          <w:b/>
          <w:bCs/>
          <w:color w:val="111111"/>
          <w:kern w:val="36"/>
          <w:sz w:val="36"/>
          <w:szCs w:val="36"/>
        </w:rPr>
      </w:pPr>
      <w:r w:rsidRPr="00681F3A">
        <w:rPr>
          <w:rFonts w:ascii="Calibri" w:eastAsia="Times New Roman" w:hAnsi="Calibri" w:cs="Calibri"/>
          <w:b/>
          <w:bCs/>
          <w:color w:val="111111"/>
          <w:kern w:val="36"/>
          <w:sz w:val="24"/>
          <w:szCs w:val="24"/>
          <w:bdr w:val="none" w:sz="0" w:space="0" w:color="auto" w:frame="1"/>
        </w:rPr>
        <w:t>Chapter Overview                                              </w:t>
      </w:r>
    </w:p>
    <w:p w14:paraId="3B470242" w14:textId="77777777" w:rsidR="00681F3A" w:rsidRPr="00681F3A" w:rsidRDefault="00681F3A" w:rsidP="00681F3A">
      <w:pPr>
        <w:spacing w:after="0" w:line="240" w:lineRule="auto"/>
        <w:outlineLvl w:val="1"/>
        <w:rPr>
          <w:rFonts w:ascii="inherit" w:eastAsia="Times New Roman" w:hAnsi="inherit" w:cs="Times New Roman"/>
          <w:b/>
          <w:bCs/>
          <w:color w:val="111111"/>
          <w:sz w:val="30"/>
          <w:szCs w:val="30"/>
        </w:rPr>
      </w:pPr>
      <w:r w:rsidRPr="00681F3A">
        <w:rPr>
          <w:rFonts w:ascii="&amp;quot" w:eastAsia="Times New Roman" w:hAnsi="&amp;quot" w:cs="Times New Roman"/>
          <w:color w:val="111111"/>
          <w:sz w:val="30"/>
          <w:szCs w:val="30"/>
          <w:bdr w:val="none" w:sz="0" w:space="0" w:color="auto" w:frame="1"/>
        </w:rPr>
        <w:t xml:space="preserve">This chapter examines global legislation related to equity and fairness in employment. In democratic countries, the laws represent a value system shared by the people. To identify such a shared value system globally, one </w:t>
      </w:r>
      <w:proofErr w:type="gramStart"/>
      <w:r w:rsidRPr="00681F3A">
        <w:rPr>
          <w:rFonts w:ascii="&amp;quot" w:eastAsia="Times New Roman" w:hAnsi="&amp;quot" w:cs="Times New Roman"/>
          <w:color w:val="111111"/>
          <w:sz w:val="30"/>
          <w:szCs w:val="30"/>
          <w:bdr w:val="none" w:sz="0" w:space="0" w:color="auto" w:frame="1"/>
        </w:rPr>
        <w:t>has to</w:t>
      </w:r>
      <w:proofErr w:type="gramEnd"/>
      <w:r w:rsidRPr="00681F3A">
        <w:rPr>
          <w:rFonts w:ascii="&amp;quot" w:eastAsia="Times New Roman" w:hAnsi="&amp;quot" w:cs="Times New Roman"/>
          <w:color w:val="111111"/>
          <w:sz w:val="30"/>
          <w:szCs w:val="30"/>
          <w:bdr w:val="none" w:sz="0" w:space="0" w:color="auto" w:frame="1"/>
        </w:rPr>
        <w:t xml:space="preserve"> search for a global representative body that can specify a similarly shared value system for all human beings. The United Nations, with all its faults, is the closest to such a representative body. In 1948, the United Nations identified a set of unalienable human rights in the Universal Declaration of Human Rights that was intended to serve as the moral basis for equal rights and antidiscrimination legislation around the world.</w:t>
      </w:r>
    </w:p>
    <w:p w14:paraId="2E2E63F6" w14:textId="77777777" w:rsidR="00681F3A" w:rsidRPr="00681F3A" w:rsidRDefault="00681F3A" w:rsidP="00681F3A">
      <w:pPr>
        <w:spacing w:after="0" w:line="240" w:lineRule="auto"/>
        <w:outlineLvl w:val="3"/>
        <w:rPr>
          <w:rFonts w:ascii="inherit" w:eastAsia="Times New Roman" w:hAnsi="inherit" w:cs="Times New Roman"/>
          <w:b/>
          <w:bCs/>
          <w:color w:val="111111"/>
          <w:sz w:val="29"/>
          <w:szCs w:val="29"/>
        </w:rPr>
      </w:pPr>
      <w:r w:rsidRPr="00681F3A">
        <w:rPr>
          <w:rFonts w:ascii="&amp;quot" w:eastAsia="Times New Roman" w:hAnsi="&amp;quot" w:cs="Times New Roman"/>
          <w:b/>
          <w:bCs/>
          <w:color w:val="111111"/>
          <w:sz w:val="29"/>
          <w:szCs w:val="29"/>
          <w:bdr w:val="none" w:sz="0" w:space="0" w:color="auto" w:frame="1"/>
        </w:rPr>
        <w:t>The Universal Declaration of Human Rights</w:t>
      </w:r>
    </w:p>
    <w:p w14:paraId="44BDA0DE"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The Universal Declaration of Human Rights was adopted by the United Nations’ General Assembly in its resolution 217A (III) of December 10, 1948. The Declaration is particularly relevant to the global study of employment rights because no one country can serve as a model for all other countries. It is truly universal because it applies to every member of the human family, regardless of </w:t>
      </w:r>
      <w:proofErr w:type="gramStart"/>
      <w:r w:rsidRPr="00681F3A">
        <w:rPr>
          <w:rFonts w:ascii="&amp;quot" w:eastAsia="Times New Roman" w:hAnsi="&amp;quot" w:cs="Times New Roman"/>
          <w:color w:val="111111"/>
          <w:sz w:val="24"/>
          <w:szCs w:val="24"/>
          <w:bdr w:val="none" w:sz="0" w:space="0" w:color="auto" w:frame="1"/>
        </w:rPr>
        <w:t>whether or not</w:t>
      </w:r>
      <w:proofErr w:type="gramEnd"/>
      <w:r w:rsidRPr="00681F3A">
        <w:rPr>
          <w:rFonts w:ascii="&amp;quot" w:eastAsia="Times New Roman" w:hAnsi="&amp;quot" w:cs="Times New Roman"/>
          <w:color w:val="111111"/>
          <w:sz w:val="24"/>
          <w:szCs w:val="24"/>
          <w:bdr w:val="none" w:sz="0" w:space="0" w:color="auto" w:frame="1"/>
        </w:rPr>
        <w:t xml:space="preserve"> his or her government has formally endorsed it. It stands on two philosophical principles: (a) the right to liberty and equality is the birthright of every human being and cannot be alienated; and (b) human beings, as distinguished from other creatures, are rational and moral and therefore entitled to certain rights and freedoms. </w:t>
      </w:r>
    </w:p>
    <w:p w14:paraId="39D14FF2"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Although the different articles under the declaration were designed to fit together harmoniously, there is potential tension between the articles assuring freedom of cultural and religious expression and those assuring equality, particularly as they apply to the workplace. The debate over the ban on wearing religious attire in schools and dint he workplace (the so-called “headscarf ban”) demonstrates the potential tension between multiculturalism and human rights.</w:t>
      </w:r>
    </w:p>
    <w:p w14:paraId="2DF4D4F3"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b/>
          <w:bCs/>
          <w:color w:val="111111"/>
          <w:sz w:val="24"/>
          <w:szCs w:val="24"/>
          <w:bdr w:val="none" w:sz="0" w:space="0" w:color="auto" w:frame="1"/>
        </w:rPr>
        <w:t xml:space="preserve">(See Box 2.1 The Debate Over the Ban on the Wearing of Religious Attire and Religious Symbols in the Workplace.) </w:t>
      </w:r>
    </w:p>
    <w:p w14:paraId="249A468B"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This issue was addressed by President Barack Obama, when, in 2016, he shared his values of protecting the right of women to wear hijabs. He emphasized America’s core values, including the freedom of religion for all faiths.</w:t>
      </w:r>
    </w:p>
    <w:p w14:paraId="4D911B49" w14:textId="77777777" w:rsidR="00681F3A" w:rsidRPr="00681F3A" w:rsidRDefault="00681F3A" w:rsidP="00681F3A">
      <w:pPr>
        <w:spacing w:after="0" w:line="240" w:lineRule="auto"/>
        <w:outlineLvl w:val="1"/>
        <w:rPr>
          <w:rFonts w:ascii="inherit" w:eastAsia="Times New Roman" w:hAnsi="inherit" w:cs="Times New Roman"/>
          <w:b/>
          <w:bCs/>
          <w:color w:val="111111"/>
          <w:sz w:val="30"/>
          <w:szCs w:val="30"/>
        </w:rPr>
      </w:pPr>
      <w:r w:rsidRPr="00681F3A">
        <w:rPr>
          <w:rFonts w:ascii="&amp;quot" w:eastAsia="Times New Roman" w:hAnsi="&amp;quot" w:cs="Times New Roman"/>
          <w:b/>
          <w:bCs/>
          <w:color w:val="111111"/>
          <w:sz w:val="30"/>
          <w:szCs w:val="30"/>
          <w:bdr w:val="none" w:sz="0" w:space="0" w:color="auto" w:frame="1"/>
        </w:rPr>
        <w:lastRenderedPageBreak/>
        <w:t>The International Bill of Human Rights and Employment Rights</w:t>
      </w:r>
    </w:p>
    <w:p w14:paraId="52D0A2B9"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The International Bill of Human Rights consists of the Universal Declaration of Human Rights, the International Covenant on Economic, Social and Cultural Rights, the International Covenant on Civil and Political Rights, and two optional protocols. Even though the Bill is not a law in a conventional sense, it has been recognized as “customary law,” a term that indicates that it is legally binding, including in those countries that did not sign their acceptance. What is primarily relevant in the International Bill of Human Rights is that it provides the universal moral basis for nondiscrimination in employment because it forbids “distinction of any kind, such as race, </w:t>
      </w:r>
      <w:proofErr w:type="spellStart"/>
      <w:r w:rsidRPr="00681F3A">
        <w:rPr>
          <w:rFonts w:ascii="&amp;quot" w:eastAsia="Times New Roman" w:hAnsi="&amp;quot" w:cs="Times New Roman"/>
          <w:color w:val="111111"/>
          <w:sz w:val="24"/>
          <w:szCs w:val="24"/>
          <w:bdr w:val="none" w:sz="0" w:space="0" w:color="auto" w:frame="1"/>
        </w:rPr>
        <w:t>colour</w:t>
      </w:r>
      <w:proofErr w:type="spellEnd"/>
      <w:r w:rsidRPr="00681F3A">
        <w:rPr>
          <w:rFonts w:ascii="&amp;quot" w:eastAsia="Times New Roman" w:hAnsi="&amp;quot" w:cs="Times New Roman"/>
          <w:color w:val="111111"/>
          <w:sz w:val="24"/>
          <w:szCs w:val="24"/>
          <w:bdr w:val="none" w:sz="0" w:space="0" w:color="auto" w:frame="1"/>
        </w:rPr>
        <w:t>, sex, language, religion, political or other opinion, national or social origin, property, birth or other status.”</w:t>
      </w:r>
    </w:p>
    <w:p w14:paraId="28FF7FEE"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b/>
          <w:bCs/>
          <w:color w:val="111111"/>
          <w:sz w:val="24"/>
          <w:szCs w:val="24"/>
          <w:bdr w:val="none" w:sz="0" w:space="0" w:color="auto" w:frame="1"/>
        </w:rPr>
        <w:t>Importance and Influence of the Declaration of Human Rights</w:t>
      </w:r>
    </w:p>
    <w:p w14:paraId="6CDB9670"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The declaration is truly universal in scope, as it preserves its validity for every member of the human family, everywhere, regardless of </w:t>
      </w:r>
      <w:proofErr w:type="gramStart"/>
      <w:r w:rsidRPr="00681F3A">
        <w:rPr>
          <w:rFonts w:ascii="&amp;quot" w:eastAsia="Times New Roman" w:hAnsi="&amp;quot" w:cs="Times New Roman"/>
          <w:color w:val="111111"/>
          <w:sz w:val="24"/>
          <w:szCs w:val="24"/>
          <w:bdr w:val="none" w:sz="0" w:space="0" w:color="auto" w:frame="1"/>
        </w:rPr>
        <w:t>whether or not</w:t>
      </w:r>
      <w:proofErr w:type="gramEnd"/>
      <w:r w:rsidRPr="00681F3A">
        <w:rPr>
          <w:rFonts w:ascii="&amp;quot" w:eastAsia="Times New Roman" w:hAnsi="&amp;quot" w:cs="Times New Roman"/>
          <w:color w:val="111111"/>
          <w:sz w:val="24"/>
          <w:szCs w:val="24"/>
          <w:bdr w:val="none" w:sz="0" w:space="0" w:color="auto" w:frame="1"/>
        </w:rPr>
        <w:t xml:space="preserve"> governments formally accept its principles or ratified covenants. As of 2012, 164 states ratified or acceded the covenant.</w:t>
      </w:r>
    </w:p>
    <w:p w14:paraId="3F2743BE"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b/>
          <w:bCs/>
          <w:color w:val="111111"/>
          <w:sz w:val="24"/>
          <w:szCs w:val="24"/>
          <w:bdr w:val="none" w:sz="0" w:space="0" w:color="auto" w:frame="1"/>
        </w:rPr>
        <w:t>Implementation</w:t>
      </w:r>
    </w:p>
    <w:p w14:paraId="605EB001"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Antidiscrimination legislation is important and to make real difference, laws must be implemented and enforced. Obstacles for implementation are traditions and long-existing cultural practices that are discriminatory. </w:t>
      </w:r>
    </w:p>
    <w:p w14:paraId="2B930A5B"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b/>
          <w:bCs/>
          <w:color w:val="111111"/>
          <w:sz w:val="24"/>
          <w:szCs w:val="24"/>
          <w:bdr w:val="none" w:sz="0" w:space="0" w:color="auto" w:frame="1"/>
        </w:rPr>
        <w:t>(See Box 2.2 Equal Employment Legislation and De Facto Discrimination              Case Example: Belgium)</w:t>
      </w:r>
    </w:p>
    <w:p w14:paraId="4300FF6E" w14:textId="77777777" w:rsidR="00681F3A" w:rsidRPr="00681F3A" w:rsidRDefault="00681F3A" w:rsidP="00681F3A">
      <w:pPr>
        <w:spacing w:after="0" w:line="240" w:lineRule="auto"/>
        <w:outlineLvl w:val="1"/>
        <w:rPr>
          <w:rFonts w:ascii="inherit" w:eastAsia="Times New Roman" w:hAnsi="inherit" w:cs="Times New Roman"/>
          <w:b/>
          <w:bCs/>
          <w:color w:val="111111"/>
          <w:sz w:val="30"/>
          <w:szCs w:val="30"/>
        </w:rPr>
      </w:pPr>
      <w:r w:rsidRPr="00681F3A">
        <w:rPr>
          <w:rFonts w:ascii="&amp;quot" w:eastAsia="Times New Roman" w:hAnsi="&amp;quot" w:cs="Times New Roman"/>
          <w:b/>
          <w:bCs/>
          <w:color w:val="111111"/>
          <w:sz w:val="30"/>
          <w:szCs w:val="30"/>
          <w:bdr w:val="none" w:sz="0" w:space="0" w:color="auto" w:frame="1"/>
        </w:rPr>
        <w:t>Diversity-related Employment Legislation</w:t>
      </w:r>
    </w:p>
    <w:p w14:paraId="1853E58C"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Most democratic and many nondemocratic countries today ban job discrimination related to gender, race, and ethnicity. And other countries forbid discrimination based on other characteristics (age, caste, social class, sexual orientation, and disability). A growing number of insurance carriers offer employment practices liability insurance (EPLI). </w:t>
      </w:r>
    </w:p>
    <w:p w14:paraId="6599E361"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Some countries, such as the United States, Canada, and many members of the European Union have broad based antidiscrimination legislation that outlaws discrimination based on a wide array of characteristics such as gender, race, ethnicity or country of origin, religious beliefs, physical disability, and sexual orientation. South Africa’s relatively new legislation (the Apartheid regime was abolished in 1994) provides a very broad protection from discrimination, listing a wide array of characteristics, including “… race, gender, sex, pregnancy, marital status, ethnic or social origin, </w:t>
      </w:r>
      <w:proofErr w:type="spellStart"/>
      <w:r w:rsidRPr="00681F3A">
        <w:rPr>
          <w:rFonts w:ascii="&amp;quot" w:eastAsia="Times New Roman" w:hAnsi="&amp;quot" w:cs="Times New Roman"/>
          <w:color w:val="111111"/>
          <w:sz w:val="24"/>
          <w:szCs w:val="24"/>
          <w:bdr w:val="none" w:sz="0" w:space="0" w:color="auto" w:frame="1"/>
        </w:rPr>
        <w:t>colour</w:t>
      </w:r>
      <w:proofErr w:type="spellEnd"/>
      <w:r w:rsidRPr="00681F3A">
        <w:rPr>
          <w:rFonts w:ascii="&amp;quot" w:eastAsia="Times New Roman" w:hAnsi="&amp;quot" w:cs="Times New Roman"/>
          <w:color w:val="111111"/>
          <w:sz w:val="24"/>
          <w:szCs w:val="24"/>
          <w:bdr w:val="none" w:sz="0" w:space="0" w:color="auto" w:frame="1"/>
        </w:rPr>
        <w:t>, sexual orientation, age, disability, religion, conscience, belief, culture, language and birth.”</w:t>
      </w:r>
    </w:p>
    <w:p w14:paraId="5BB4F0EE" w14:textId="77777777" w:rsidR="00681F3A" w:rsidRPr="00681F3A" w:rsidRDefault="00681F3A" w:rsidP="00681F3A">
      <w:pPr>
        <w:spacing w:after="0" w:line="240" w:lineRule="auto"/>
        <w:ind w:left="1080"/>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w:t>
      </w:r>
    </w:p>
    <w:p w14:paraId="478BBB7E"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b/>
          <w:bCs/>
          <w:color w:val="111111"/>
          <w:sz w:val="24"/>
          <w:szCs w:val="24"/>
          <w:bdr w:val="none" w:sz="0" w:space="0" w:color="auto" w:frame="1"/>
        </w:rPr>
        <w:t>Broad-Based Antidiscrimination Legislation</w:t>
      </w:r>
    </w:p>
    <w:p w14:paraId="56A4B33A"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Comparison of U.S. civil rights legislation with Canada’s labor legislation. The EU’s fight against discrimination based on taking actions for five things. 1. Improve knowledge of discrimination by raising awareness among populations regarding their rights and obligations; 2. Support intermediary actors such as NGOs, social partners, and equality bodies to combat discrimination; 3. Support development of equality policies at the national level and encourage exchange of good practices among EU countries; 4. Achieve real change in the area of antidiscrimination through antidiscrimination training activities; and 5. Push for business-oriented diversity management as part of a strategic response to a more diversified society. </w:t>
      </w:r>
    </w:p>
    <w:p w14:paraId="077CABD7"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i/>
          <w:iCs/>
          <w:color w:val="111111"/>
          <w:sz w:val="24"/>
          <w:szCs w:val="24"/>
          <w:bdr w:val="none" w:sz="0" w:space="0" w:color="auto" w:frame="1"/>
        </w:rPr>
        <w:t>Race—South Africa</w:t>
      </w:r>
    </w:p>
    <w:p w14:paraId="54D8FC92"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lastRenderedPageBreak/>
        <w:t>Two interesting elements of South Africa’s declaration include the following: the diversity list is far more inclusive than those of many other nations and only “unfair discrimination” is banned, implying it is possible to “fairly discriminate” thus paving the way for affirmative action.</w:t>
      </w:r>
    </w:p>
    <w:p w14:paraId="235E3FFD"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i/>
          <w:iCs/>
          <w:color w:val="111111"/>
          <w:sz w:val="24"/>
          <w:szCs w:val="24"/>
          <w:bdr w:val="none" w:sz="0" w:space="0" w:color="auto" w:frame="1"/>
        </w:rPr>
        <w:t>Gender—Japan</w:t>
      </w:r>
    </w:p>
    <w:p w14:paraId="71C9834E"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A 1996 landmark ruling on gender discrimination was a part of the impetus to change Japan’s gender-related legislation. The courts awarded 13 plaintiffs 340 million yen (approximately $3 million). </w:t>
      </w:r>
    </w:p>
    <w:p w14:paraId="5ABF4297"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i/>
          <w:iCs/>
          <w:color w:val="111111"/>
          <w:sz w:val="24"/>
          <w:szCs w:val="24"/>
          <w:bdr w:val="none" w:sz="0" w:space="0" w:color="auto" w:frame="1"/>
        </w:rPr>
        <w:t>Equal Remuneration—United States</w:t>
      </w:r>
    </w:p>
    <w:p w14:paraId="766A9369"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The first major legislation signed by President Barack Obama, the Lily Ledbetter Fair Pay Act, closed a loophole in the Equal Pay Act. While not an equal pay issue, a gender-based class action discrimination claim against Microsoft shows the executive leadership at Microsoft is about 88%. One female employee was passed over multiple times for promotion while her less qualifies male counterparts received promotions. </w:t>
      </w:r>
    </w:p>
    <w:p w14:paraId="71A62D4F"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i/>
          <w:iCs/>
          <w:color w:val="111111"/>
          <w:sz w:val="24"/>
          <w:szCs w:val="24"/>
          <w:bdr w:val="none" w:sz="0" w:space="0" w:color="auto" w:frame="1"/>
        </w:rPr>
        <w:t>Sexual Orientation—International</w:t>
      </w:r>
    </w:p>
    <w:p w14:paraId="0F252DCF"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 xml:space="preserve">Globally, this class receives less protection. According to the International Gay and Lesbian Human Rights commission (IGLHRC) shows that over 25 countries provide antidiscrimination legislation based on sexual orientation. </w:t>
      </w:r>
    </w:p>
    <w:p w14:paraId="205B064A"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b/>
          <w:bCs/>
          <w:color w:val="111111"/>
          <w:sz w:val="24"/>
          <w:szCs w:val="24"/>
          <w:bdr w:val="none" w:sz="0" w:space="0" w:color="auto" w:frame="1"/>
        </w:rPr>
        <w:t>(See Figure 2.2 and Table 2.1 for a map and list of countries with sexual orientation legislation)</w:t>
      </w:r>
    </w:p>
    <w:p w14:paraId="5F0CFF2D"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i/>
          <w:iCs/>
          <w:color w:val="111111"/>
          <w:sz w:val="24"/>
          <w:szCs w:val="24"/>
          <w:bdr w:val="none" w:sz="0" w:space="0" w:color="auto" w:frame="1"/>
        </w:rPr>
        <w:t>Gender Identity—United States and International</w:t>
      </w:r>
    </w:p>
    <w:p w14:paraId="10A64754"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The use of public bathrooms presents a challenge for the transgender population. A Virginia law would require school boards to create policies that would allow students in public schools to only use the bathrooms that align with their gender at birth.</w:t>
      </w:r>
    </w:p>
    <w:p w14:paraId="560B1D28"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IBM corporation was one of the first companies to provide diversity and inclusion policies for their lesbian, gay, bisexual, and transgender (LGBT) employees. IBM is one of the founding partners of Pride in Diversity, Australia’s first and only non-for-profit workplace program designed to provide inclusion support to the LGBT employees in Australia’s workplace.</w:t>
      </w:r>
    </w:p>
    <w:p w14:paraId="036A77DA" w14:textId="77777777" w:rsidR="00681F3A" w:rsidRPr="00681F3A" w:rsidRDefault="00681F3A" w:rsidP="00681F3A">
      <w:pPr>
        <w:spacing w:after="0" w:line="240" w:lineRule="auto"/>
        <w:outlineLvl w:val="3"/>
        <w:rPr>
          <w:rFonts w:ascii="inherit" w:eastAsia="Times New Roman" w:hAnsi="inherit" w:cs="Times New Roman"/>
          <w:b/>
          <w:bCs/>
          <w:color w:val="111111"/>
          <w:sz w:val="29"/>
          <w:szCs w:val="29"/>
        </w:rPr>
      </w:pPr>
      <w:r w:rsidRPr="00681F3A">
        <w:rPr>
          <w:rFonts w:ascii="&amp;quot" w:eastAsia="Times New Roman" w:hAnsi="&amp;quot" w:cs="Times New Roman"/>
          <w:b/>
          <w:bCs/>
          <w:color w:val="111111"/>
          <w:sz w:val="29"/>
          <w:szCs w:val="29"/>
          <w:bdr w:val="none" w:sz="0" w:space="0" w:color="auto" w:frame="1"/>
        </w:rPr>
        <w:t>Practical Implications</w:t>
      </w:r>
    </w:p>
    <w:p w14:paraId="2684A463" w14:textId="77777777" w:rsidR="00681F3A" w:rsidRPr="00681F3A" w:rsidRDefault="00681F3A" w:rsidP="00681F3A">
      <w:pPr>
        <w:spacing w:after="0" w:line="240" w:lineRule="auto"/>
        <w:rPr>
          <w:rFonts w:ascii="inherit" w:eastAsia="Times New Roman" w:hAnsi="inherit" w:cs="Times New Roman"/>
          <w:color w:val="111111"/>
          <w:sz w:val="24"/>
          <w:szCs w:val="24"/>
        </w:rPr>
      </w:pPr>
      <w:r w:rsidRPr="00681F3A">
        <w:rPr>
          <w:rFonts w:ascii="&amp;quot" w:eastAsia="Times New Roman" w:hAnsi="&amp;quot" w:cs="Times New Roman"/>
          <w:color w:val="111111"/>
          <w:sz w:val="24"/>
          <w:szCs w:val="24"/>
          <w:bdr w:val="none" w:sz="0" w:space="0" w:color="auto" w:frame="1"/>
        </w:rPr>
        <w:t>The chapter concludes by highlighting the implications of noncompliance with these laws. The moral principles of treatment of members of diverse groups have practical implications for individual workers, groups of workers, work organization, and society. Employees who are treated unfairly are more likely to be less productive, less satisfied, and less loyal to their organizations. Lawsuits resulting from noncompliance with these laws can be lengthy and costly. Therefore, managers today need to understand the legislative and business-related social policies of the countries in which they are doing business in order to avoid penalties and lawsuits and to reap the rewards of compliance.</w:t>
      </w:r>
    </w:p>
    <w:p w14:paraId="10CE86D5" w14:textId="4B7152FA" w:rsidR="007056E1" w:rsidRDefault="00681F3A">
      <w:bookmarkStart w:id="0" w:name="_GoBack"/>
      <w:bookmarkEnd w:id="0"/>
    </w:p>
    <w:p w14:paraId="558925F9" w14:textId="0982A38B" w:rsidR="00607FEC" w:rsidRDefault="00607FEC"/>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5A33F1"/>
    <w:rsid w:val="00607FEC"/>
    <w:rsid w:val="00681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1324</Words>
  <Characters>7552</Characters>
  <Application>Microsoft Office Word</Application>
  <DocSecurity>0</DocSecurity>
  <Lines>62</Lines>
  <Paragraphs>17</Paragraphs>
  <ScaleCrop>false</ScaleCrop>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2020-04-06T15:49:00Z</dcterms:created>
  <dcterms:modified xsi:type="dcterms:W3CDTF">2020-04-06T15:49:00Z</dcterms:modified>
</cp:coreProperties>
</file>